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bdr w:val="dotted" w:sz="6" w:space="0" w:color="DDDDDD" w:frame="1"/>
          <w:lang w:eastAsia="ru-RU"/>
        </w:rPr>
        <w:t> </w:t>
      </w:r>
    </w:p>
    <w:p w:rsidR="00B6260A" w:rsidRPr="00B6260A" w:rsidRDefault="00B6260A" w:rsidP="00B6260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  <w:hyperlink r:id="rId5" w:history="1">
        <w:r w:rsidRPr="00B6260A">
          <w:rPr>
            <w:rFonts w:ascii="Arial" w:eastAsia="Times New Roman" w:hAnsi="Arial" w:cs="Arial"/>
            <w:b/>
            <w:bCs/>
            <w:caps/>
            <w:color w:val="0000FF"/>
            <w:sz w:val="27"/>
            <w:szCs w:val="27"/>
            <w:bdr w:val="none" w:sz="0" w:space="0" w:color="auto" w:frame="1"/>
            <w:lang w:eastAsia="ru-RU"/>
          </w:rPr>
          <w:t>ЭЛЕКТРОННЫЕ ОБРАЗОВАТЕЛЬНЫЕ РЕСУРСЫ ДЛЯ РАБОТЫ С ДЕТЬМИ С ОГРАНИЧЕННЫМИ ВОЗМОЖНОСТЯМИ ЗДОРОВЬЯ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B6260A">
        <w:rPr>
          <w:rFonts w:ascii="Arial" w:eastAsia="Times New Roman" w:hAnsi="Arial" w:cs="Arial"/>
          <w:b/>
          <w:bCs/>
          <w:color w:val="993366"/>
          <w:sz w:val="27"/>
          <w:szCs w:val="27"/>
          <w:bdr w:val="none" w:sz="0" w:space="0" w:color="auto" w:frame="1"/>
          <w:lang w:eastAsia="ru-RU"/>
        </w:rPr>
        <w:t>Использование электронных образовательных ресурсов в дошкольных образовательных организациях для детей с ограниченными возможностями здоровья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каждом обществе и культуре существует специально созданное образовательное пространство, которое включает в себя традиции и научно- обоснованные подходы к обучению детей разных возрастов в условиях семьи и образовательных учреждениях. Нарушения в развитии приводят к «выпадению» ребенка из этого социально и культурно обусловленного образовательного пространства. Взрослый носитель культуры не может, не знать, каким образом передать ребенку с нарушениями в развитии тот социальный опыт, который каждый нормально развивающийся ребенок приобретает без особых условий, специфичных средств, методов, путей обучения. По отношению к детям с нарушениями развития перестают действовать или оказываются недостаточно состоятельными принятые способы решения традиционных развивающих и образовательных задач на каждом возрастном этапе. Социальная недостаточность таких детей непосредственно связана не с первичным нарушением, а с «социальным вывихом», преодолеть который можно средствами специально организованного и особым образом устроенного образования, предусматривающего «обходные пути», специальные методы и средства решения тех развивающих и образовательных задач, которые в условиях нормы достигаются традиционными способами.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целях содействия в обеспечении доступности, качества и эффективности образовательных услуг для различных категорий детей в настоящее время среди приоритетных направлений социального развития реализуется национальный проект «Информатизация системы образования» (ИСО), основная цель которого – создание условий для системного внедрения и активного использования информационных и коммуникационных технологий в работе детского сада.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Информационно-коммуникативные технологии (ИКТ) в детском саду – актуальная проблема современного дошкольного воспитания. С одной стороны, президент поставил перед каждым учреждением РФ задачу: иметь собственное электронное представительство в Интернете, с другой стороны – существует реальная угроза здоровью, возникающая при раннем приучении малышей к компьютеру. Однако бурное развитие информационно-коммуникативных технологий привело к тому, что компьютер в детском саду стал необходим. Внедрение инновационных технологий в образовании прежде всего даст возможность улучшить качество обучения, повысить мотивацию детей к получению и усвоению новых знаний.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сети Интернет имеется много чрезвычайно полезных для работников системы дошкольного образования ресурсов: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http://www.kremlin.ru/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сайт Президента России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http://doshvozrast.ru/index.htm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«Воспитание детей дошкольного возраста в детском саду и семье»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http://moi-detsad.ru/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«Все для детского сада».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http://lekoteka.ru/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«</w:t>
      </w:r>
      <w:proofErr w:type="spell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Лекотека</w:t>
      </w:r>
      <w:proofErr w:type="spell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http://www.menobr.ru/materials/35/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«Менеджер образования – аттестация педагогов»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http://beautiful.all.ru/Skazki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http://hyaenidae.narod.ru/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http://www.tale-store.ru/russkie-narodnye-skazki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Русские народные сказки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http://prodetsad.spb.ru/konspekty/derevya_-_zanyatie_v_usloviyah_fgt__-_kompyuternyie_tehnologii_v_dou.html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конспект занятия с использованием ИКТ – 4-5 лет. «Деревья»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http://detsad-kitty.ru/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http://viki.rdf.ru/cat/bukvi_chtenie/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http://festival.1september.ru/articles/subjects/32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http://www.tvoyrebenok.ru/prezentacii_dlya_detey.shtml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http://www.deti-66.ru/forteachers/kindergarten.html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раздел детский сад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http://www.bedtimestory.ru/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коллекция </w:t>
      </w:r>
      <w:proofErr w:type="spell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аудиосказок</w:t>
      </w:r>
      <w:proofErr w:type="spell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(можно скачать)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http://classic.chubrik.ru/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портал классической музыки для детей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http://www.murzilka.org/igrodrom/games/787/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журнал </w:t>
      </w:r>
      <w:proofErr w:type="spell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Мурзилка</w:t>
      </w:r>
      <w:proofErr w:type="spell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игры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history="1">
        <w:r w:rsidRPr="00B6260A">
          <w:rPr>
            <w:rFonts w:ascii="Arial" w:eastAsia="Times New Roman" w:hAnsi="Arial" w:cs="Arial"/>
            <w:color w:val="BE4F99"/>
            <w:sz w:val="18"/>
            <w:szCs w:val="18"/>
            <w:bdr w:val="none" w:sz="0" w:space="0" w:color="auto" w:frame="1"/>
            <w:lang w:eastAsia="ru-RU"/>
          </w:rPr>
          <w:t>http://www.kraskizhizni.com/edu/develop/284-glenn-doman-knigi-kartochki </w:t>
        </w:r>
      </w:hyperlink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Глен </w:t>
      </w:r>
      <w:proofErr w:type="spell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Доман</w:t>
      </w:r>
      <w:proofErr w:type="spell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6260A" w:rsidRDefault="00B6260A" w:rsidP="00B6260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</w:p>
    <w:p w:rsidR="00B6260A" w:rsidRPr="00B6260A" w:rsidRDefault="00B6260A" w:rsidP="00B6260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  <w:hyperlink r:id="rId24" w:history="1">
        <w:r w:rsidRPr="00B6260A">
          <w:rPr>
            <w:rFonts w:ascii="Arial" w:eastAsia="Times New Roman" w:hAnsi="Arial" w:cs="Arial"/>
            <w:b/>
            <w:bCs/>
            <w:caps/>
            <w:color w:val="0000FF"/>
            <w:sz w:val="27"/>
            <w:szCs w:val="27"/>
            <w:bdr w:val="none" w:sz="0" w:space="0" w:color="auto" w:frame="1"/>
            <w:lang w:eastAsia="ru-RU"/>
          </w:rPr>
          <w:t>НЕ ЗАБЫВАЕМ О ЗДОРОВЬЕ РЕБЕНКА</w:t>
        </w:r>
      </w:hyperlink>
    </w:p>
    <w:p w:rsidR="00B6260A" w:rsidRPr="00B6260A" w:rsidRDefault="00B6260A" w:rsidP="00B626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993366"/>
          <w:sz w:val="27"/>
          <w:szCs w:val="27"/>
          <w:bdr w:val="none" w:sz="0" w:space="0" w:color="auto" w:frame="1"/>
          <w:lang w:eastAsia="ru-RU"/>
        </w:rPr>
        <w:t>Не забываем о здоровье ребенка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Согласно действующим </w:t>
      </w:r>
      <w:proofErr w:type="spell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санитарно</w:t>
      </w:r>
      <w:proofErr w:type="spell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эпидемиологическими нормами занятия на компьютере с дошкольниками не должна быть более указанной ниже:</w:t>
      </w:r>
    </w:p>
    <w:p w:rsidR="00B6260A" w:rsidRPr="00B6260A" w:rsidRDefault="00B6260A" w:rsidP="00B6260A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детей 6 лет I-II групп здоровья  – 15минут в день;</w:t>
      </w:r>
    </w:p>
    <w:p w:rsidR="00B6260A" w:rsidRPr="00B6260A" w:rsidRDefault="00B6260A" w:rsidP="00B6260A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детей 6 лет III группы здоровья – 10 минут в день;</w:t>
      </w:r>
    </w:p>
    <w:p w:rsidR="00B6260A" w:rsidRPr="00B6260A" w:rsidRDefault="00B6260A" w:rsidP="00B6260A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для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детей 5 лет I-II групп здоровья – 10 минут в день;</w:t>
      </w:r>
    </w:p>
    <w:p w:rsidR="00B6260A" w:rsidRPr="00B6260A" w:rsidRDefault="00B6260A" w:rsidP="00B6260A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детей 5 лет III группы здоровья – 7 минут в день;</w:t>
      </w:r>
    </w:p>
    <w:p w:rsidR="00B6260A" w:rsidRPr="00B6260A" w:rsidRDefault="00B6260A" w:rsidP="00B6260A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детей 6 лет, относящихся к группе риска по состоянию зрения – 10 минут в день;</w:t>
      </w:r>
    </w:p>
    <w:p w:rsidR="00B6260A" w:rsidRPr="00B6260A" w:rsidRDefault="00B6260A" w:rsidP="00B6260A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детей 5 лет, относящихся к группе риска по состоянию зрения – 7 минут в день.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Рекомендуемое время</w:t>
      </w: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дня для занятий на компьютере: </w:t>
      </w: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первая половина дня – </w:t>
      </w: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оптимальна;</w:t>
      </w: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вторая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половина дня – допустима. Занятие с использованием компьютера во второй половине дня следует проводить в период второго подъема суточной работоспособности, в интервале от 15 ч 30 мин до 16 ч 30 мин, после дневного сна и полдника.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Рекомендуемая максимальная кратность работы на компьютере в течение недели</w:t>
      </w: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для детей 5 и 6 лет- 1-2 раза.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Рекомендуемые дни недели для занятий на компьютере</w:t>
      </w: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вторник, среда. В пятницу заниматься на </w:t>
      </w: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компьютере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нежелательно. Объясняется это тем, что работоспособность ребенка уже к четвергу снижается, а в пятницу происходит ее резкое снижение в силу накопившейся недельной усталости.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целях </w:t>
      </w: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профилактики зрительного утомления целесообразно проводить специальные упражнения для глаз.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Зрительная гимнастика во время работы </w:t>
      </w:r>
      <w:proofErr w:type="spellStart"/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накомпьютере</w:t>
      </w:r>
      <w:proofErr w:type="spellEnd"/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Упражнение 1 – со зрительными метками. В кабинете заранее подвешиваются высоко на стенах, углах, в центре стены яркие зрительные метки. Ими могут быть игрушки или красочные картинки (4-6 меток). Игрушки (картинки) целесообразно подбирать по изучаемой теме, чтобы они составляли единый зрительно-игровой сюжет. Сюжеты логопед может придумывать сам и менять их время от времени. Примерами игровых сюжетов могут быть следующие. В центре стены помещается машина (или голубь, или самолетик, или бабочка). В углах под потолком стены – цветные гаражи. Детям предлагается проследить взором проезд машины в гаражи или на ремонтную площадку. Голубь может лететь на веточку или в домик.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Упражнение 2 – со зрительными метками и поворотами головы. Выполняется так же, как предыдущее упражнение, но дети должны выполнять его с поворотами головы. Игровым объектом может служить елочка, которую нужно нарядить. Необходимые для этой цели игрушки дети должны отыскивать по всему кабинету.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Зрительная гимнастика после занятия </w:t>
      </w:r>
      <w:proofErr w:type="spellStart"/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сиспользованием</w:t>
      </w:r>
      <w:proofErr w:type="spellEnd"/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компьютера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Выполняется сидя или стоя, при ритмичном дыхании, с максимальной амплитудой движения глаз. Рекомендуются следующие варианты упражнений.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Упражнение 1. Закрыть глаза, сильно напрягая глазные мышцы, на счет 1-4, затем открыть глаза, расслабив мышцы глаз, посмотреть вдаль через окно на счет 1-6. Повторить 4-5 раз.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Упражнение 2. 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вниз. Повторить 2 раза.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6260A" w:rsidRPr="00B6260A" w:rsidRDefault="00B6260A" w:rsidP="00B62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Ох уж эти презентации...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 </w:t>
      </w:r>
      <w:r w:rsidRPr="00B6260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презентации </w:t>
      </w: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дошкольников с нарушениями зрения имеет ряд особенностей.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Фон презентаций лучше выбирать однотонный, не отвлекающий внимания от содержания слайда, спокойных, не раздражающих зрение цветов. Меняя его несколько раз в течение презентации, педагог удерживает непроизвольное внимание детей. Иллюстрации должны быть крупными и реалистичными, не перегруженные лишними деталями. Недопустимо использовать некачественные ("размытые</w:t>
      </w:r>
      <w:proofErr w:type="gramStart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")  фотографии</w:t>
      </w:r>
      <w:proofErr w:type="gramEnd"/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изображения, способные вызывать у детей испуг или неприязнь. Умеренное применение спецэффектов помогает удерживать внимание на экране компьютера, повышает интерес, создает положительный эмоциональный настрой, однако чрезмерное увлечение ими приводит к обратному эффекту: занятие затягивается, у детей быстро наступают пресыщение и утомление.</w:t>
      </w:r>
    </w:p>
    <w:p w:rsidR="00B6260A" w:rsidRPr="00B6260A" w:rsidRDefault="00B6260A" w:rsidP="00B6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26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Содержание презентаций зависит от целей и вида занятий.</w:t>
      </w:r>
    </w:p>
    <w:p w:rsidR="006443B3" w:rsidRDefault="00B6260A"/>
    <w:sectPr w:rsidR="0064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27FE7"/>
    <w:multiLevelType w:val="multilevel"/>
    <w:tmpl w:val="4AB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02119"/>
    <w:multiLevelType w:val="multilevel"/>
    <w:tmpl w:val="ED2E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9528C"/>
    <w:multiLevelType w:val="multilevel"/>
    <w:tmpl w:val="13E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0A"/>
    <w:rsid w:val="00B3420D"/>
    <w:rsid w:val="00B6260A"/>
    <w:rsid w:val="00C2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BE87-CD6F-488C-AC16-7DFD9173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6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-detsad.ru/" TargetMode="External"/><Relationship Id="rId13" Type="http://schemas.openxmlformats.org/officeDocument/2006/relationships/hyperlink" Target="http://www.tale-store.ru/russkie-narodnye-skazki" TargetMode="External"/><Relationship Id="rId18" Type="http://schemas.openxmlformats.org/officeDocument/2006/relationships/hyperlink" Target="http://www.tvoyrebenok.ru/prezentacii_dlya_detey.s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lassic.chubrik.ru/" TargetMode="External"/><Relationship Id="rId7" Type="http://schemas.openxmlformats.org/officeDocument/2006/relationships/hyperlink" Target="http://doshvozrast.ru/index.htm" TargetMode="External"/><Relationship Id="rId12" Type="http://schemas.openxmlformats.org/officeDocument/2006/relationships/hyperlink" Target="http://hyaenidae.narod.ru/" TargetMode="External"/><Relationship Id="rId17" Type="http://schemas.openxmlformats.org/officeDocument/2006/relationships/hyperlink" Target="http://festival.1september.ru/articles/subjects/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ki.rdf.ru/cat/bukvi_chtenie/" TargetMode="External"/><Relationship Id="rId20" Type="http://schemas.openxmlformats.org/officeDocument/2006/relationships/hyperlink" Target="http://www.bedtimesto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emlin.ru/" TargetMode="External"/><Relationship Id="rId11" Type="http://schemas.openxmlformats.org/officeDocument/2006/relationships/hyperlink" Target="http://beautiful.all.ru/Skazki" TargetMode="External"/><Relationship Id="rId24" Type="http://schemas.openxmlformats.org/officeDocument/2006/relationships/hyperlink" Target="http://detsad5.tgl.net.ru/ne-zabyvaem-o-zdorove-rebenka" TargetMode="External"/><Relationship Id="rId5" Type="http://schemas.openxmlformats.org/officeDocument/2006/relationships/hyperlink" Target="http://detsad5.tgl.net.ru/elektronnye-resursy-dlya-raboty-s-detmi-s-ovz" TargetMode="External"/><Relationship Id="rId15" Type="http://schemas.openxmlformats.org/officeDocument/2006/relationships/hyperlink" Target="http://detsad-kitty.ru/" TargetMode="External"/><Relationship Id="rId23" Type="http://schemas.openxmlformats.org/officeDocument/2006/relationships/hyperlink" Target="http://www.kraskizhizni.com/edu/develop/284-glenn-doman-knigi-kartochki" TargetMode="External"/><Relationship Id="rId10" Type="http://schemas.openxmlformats.org/officeDocument/2006/relationships/hyperlink" Target="http://www.menobr.ru/materials/35/" TargetMode="External"/><Relationship Id="rId19" Type="http://schemas.openxmlformats.org/officeDocument/2006/relationships/hyperlink" Target="http://www.deti-66.ru/forteachers/kindergart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koteka.ru/" TargetMode="External"/><Relationship Id="rId14" Type="http://schemas.openxmlformats.org/officeDocument/2006/relationships/hyperlink" Target="http://prodetsad.spb.ru/konspekty/derevya_-_zanyatie_v_usloviyah_fgt__-_kompyuternyie_tehnologii_v_dou.html" TargetMode="External"/><Relationship Id="rId22" Type="http://schemas.openxmlformats.org/officeDocument/2006/relationships/hyperlink" Target="http://www.murzilka.org/igrodrom/games/7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2019-04-05T05:44:00Z</dcterms:created>
  <dcterms:modified xsi:type="dcterms:W3CDTF">2019-04-05T05:45:00Z</dcterms:modified>
</cp:coreProperties>
</file>